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3C3" w:rsidRDefault="001913C3">
      <w:pPr>
        <w:widowControl w:val="0"/>
        <w:spacing w:after="0"/>
      </w:pPr>
    </w:p>
    <w:tbl>
      <w:tblPr>
        <w:tblStyle w:val="a0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1913C3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1913C3" w:rsidRDefault="00AF267D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1913C3" w:rsidRDefault="00AF267D">
            <w:pPr>
              <w:spacing w:after="0" w:line="240" w:lineRule="auto"/>
            </w:pPr>
            <w:r>
              <w:t>What do you want students to know and be able to do?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 xml:space="preserve">STANDARDS:  </w:t>
            </w:r>
            <w:r>
              <w:t>What do you want students to know and be able to do?</w:t>
            </w:r>
            <w:r>
              <w:rPr>
                <w:b/>
              </w:rPr>
              <w:t xml:space="preserve">  </w:t>
            </w:r>
          </w:p>
          <w:p w:rsidR="001913C3" w:rsidRDefault="00AF267D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1913C3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Big Idea:  Students will learn and demonstrate ability to perform scales.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 xml:space="preserve">Standard(s): </w:t>
            </w:r>
          </w:p>
          <w:p w:rsidR="001913C3" w:rsidRDefault="00AF267D">
            <w:pPr>
              <w:spacing w:after="0" w:line="380" w:lineRule="auto"/>
            </w:pPr>
            <w:r w:rsidRPr="00334CB1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>Standard 1 - Objective 2</w:t>
            </w:r>
            <w:r w:rsidRPr="00334CB1">
              <w:rPr>
                <w:rFonts w:ascii="Arial" w:eastAsia="Arial" w:hAnsi="Arial" w:cs="Arial"/>
                <w:b/>
                <w:color w:val="333333"/>
                <w:szCs w:val="1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Demonstrate technical performance skills.</w:t>
            </w:r>
          </w:p>
          <w:tbl>
            <w:tblPr>
              <w:tblStyle w:val="a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02"/>
              <w:gridCol w:w="802"/>
            </w:tblGrid>
            <w:tr w:rsidR="001913C3"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913C3" w:rsidRDefault="001913C3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913C3" w:rsidRDefault="001913C3">
                  <w:pPr>
                    <w:spacing w:after="0" w:line="240" w:lineRule="auto"/>
                  </w:pPr>
                </w:p>
              </w:tc>
            </w:tr>
          </w:tbl>
          <w:p w:rsidR="001913C3" w:rsidRDefault="00AF267D" w:rsidP="000B2B6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Demonstrate scale and finger pattern skills </w:t>
            </w:r>
          </w:p>
          <w:p w:rsidR="001913C3" w:rsidRDefault="00AF267D" w:rsidP="000B2B6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Play the following scales: violin—2 octave A, D, G, C, B-flat, E-flat, 1 octave F; viola and cello—2   octave A, D, G, C. F, E-flat, 1 octave B-flat; bass—1 octave A, D G, C, F, B-flat, </w:t>
            </w:r>
            <w:proofErr w:type="gramStart"/>
            <w:r>
              <w:t>E</w:t>
            </w:r>
            <w:proofErr w:type="gramEnd"/>
            <w:r>
              <w:t xml:space="preserve">-flat. </w:t>
            </w:r>
          </w:p>
          <w:p w:rsidR="001913C3" w:rsidRDefault="001913C3">
            <w:pPr>
              <w:spacing w:after="0" w:line="240" w:lineRule="auto"/>
            </w:pPr>
          </w:p>
          <w:p w:rsidR="001913C3" w:rsidRPr="000B2B60" w:rsidRDefault="00AF267D">
            <w:pPr>
              <w:spacing w:after="0" w:line="240" w:lineRule="auto"/>
            </w:pPr>
            <w:r>
              <w:rPr>
                <w:b/>
              </w:rPr>
              <w:t>Studen</w:t>
            </w:r>
            <w:r>
              <w:rPr>
                <w:b/>
              </w:rPr>
              <w:t xml:space="preserve">t Learning Goal:  </w:t>
            </w:r>
            <w:r w:rsidRPr="000B2B60">
              <w:t xml:space="preserve">Students will understand how to construct and will demonstrate major scales A, D, G, C, F, Bb and </w:t>
            </w:r>
            <w:proofErr w:type="spellStart"/>
            <w:r w:rsidRPr="000B2B60">
              <w:t>Eb</w:t>
            </w:r>
            <w:proofErr w:type="spellEnd"/>
            <w:r w:rsidRPr="000B2B60">
              <w:t>.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 w:rsidRPr="000B2B60">
              <w:t>One school year</w:t>
            </w:r>
          </w:p>
        </w:tc>
      </w:tr>
      <w:tr w:rsidR="001913C3">
        <w:trPr>
          <w:trHeight w:val="1740"/>
        </w:trPr>
        <w:tc>
          <w:tcPr>
            <w:tcW w:w="1740" w:type="dxa"/>
            <w:vMerge w:val="restart"/>
            <w:shd w:val="clear" w:color="auto" w:fill="EEECE1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1913C3" w:rsidRDefault="00AF267D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 w:rsidP="000B2B6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Students will perform scales and b</w:t>
            </w:r>
            <w:bookmarkStart w:id="1" w:name="_GoBack"/>
            <w:bookmarkEnd w:id="1"/>
            <w:r>
              <w:t>e assessed using the included</w:t>
            </w:r>
            <w:hyperlink r:id="rId7">
              <w:r w:rsidRPr="000B2B60">
                <w:rPr>
                  <w:color w:val="1155CC"/>
                  <w:u w:val="single"/>
                </w:rPr>
                <w:t xml:space="preserve"> rubric</w:t>
              </w:r>
            </w:hyperlink>
            <w:r>
              <w:t>.</w:t>
            </w:r>
          </w:p>
        </w:tc>
      </w:tr>
      <w:tr w:rsidR="001913C3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 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 w:rsidP="000B2B6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Students will perform scales again to see how much they have improved from the initial assessment.</w:t>
            </w:r>
          </w:p>
        </w:tc>
      </w:tr>
      <w:tr w:rsidR="001913C3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1913C3" w:rsidRDefault="001913C3">
            <w:pPr>
              <w:spacing w:after="0" w:line="240" w:lineRule="auto"/>
            </w:pPr>
          </w:p>
          <w:p w:rsidR="000B2B60" w:rsidRDefault="00AF267D" w:rsidP="000B2B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Students will perform scales to see how much they have improved from the initial assessme</w:t>
            </w:r>
            <w:r>
              <w:t>nt.</w:t>
            </w:r>
          </w:p>
          <w:p w:rsidR="001913C3" w:rsidRDefault="00AF267D" w:rsidP="00334CB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Students will demonstrate ability to perform and understand </w:t>
            </w:r>
            <w:r>
              <w:t xml:space="preserve">major scales A, D, G, C, F, Bb and </w:t>
            </w:r>
            <w:proofErr w:type="spellStart"/>
            <w:r>
              <w:t>Eb</w:t>
            </w:r>
            <w:proofErr w:type="spellEnd"/>
            <w:r>
              <w:t>.</w:t>
            </w:r>
          </w:p>
        </w:tc>
      </w:tr>
      <w:tr w:rsidR="001913C3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1913C3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1913C3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1913C3" w:rsidRPr="000B2B60" w:rsidRDefault="00AF267D">
            <w:pPr>
              <w:spacing w:after="0" w:line="240" w:lineRule="auto"/>
            </w:pPr>
            <w:r w:rsidRPr="000B2B60">
              <w:rPr>
                <w:szCs w:val="24"/>
              </w:rPr>
              <w:t>(13-15</w:t>
            </w:r>
            <w:r w:rsidR="000B2B60">
              <w:rPr>
                <w:szCs w:val="24"/>
              </w:rPr>
              <w:t xml:space="preserve"> points</w:t>
            </w:r>
            <w:r w:rsidRPr="000B2B60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1913C3" w:rsidRDefault="001913C3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  <w:jc w:val="center"/>
            </w:pPr>
          </w:p>
        </w:tc>
      </w:tr>
      <w:tr w:rsidR="001913C3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1913C3" w:rsidRPr="000B2B60" w:rsidRDefault="00AF267D">
            <w:pPr>
              <w:spacing w:after="0" w:line="240" w:lineRule="auto"/>
            </w:pPr>
            <w:r w:rsidRPr="000B2B60">
              <w:rPr>
                <w:szCs w:val="24"/>
              </w:rPr>
              <w:t>(10-12</w:t>
            </w:r>
            <w:r w:rsidR="000B2B60">
              <w:rPr>
                <w:szCs w:val="24"/>
              </w:rPr>
              <w:t xml:space="preserve"> points</w:t>
            </w:r>
            <w:r w:rsidRPr="000B2B60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  <w:jc w:val="center"/>
            </w:pPr>
          </w:p>
        </w:tc>
      </w:tr>
      <w:tr w:rsidR="001913C3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1913C3" w:rsidRDefault="000B2B60" w:rsidP="000B2B60">
            <w:pPr>
              <w:spacing w:after="0" w:line="240" w:lineRule="auto"/>
            </w:pPr>
            <w:r>
              <w:rPr>
                <w:szCs w:val="24"/>
              </w:rPr>
              <w:t>(6-9 points)</w:t>
            </w:r>
          </w:p>
        </w:tc>
        <w:tc>
          <w:tcPr>
            <w:tcW w:w="2369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  <w:jc w:val="center"/>
            </w:pPr>
          </w:p>
        </w:tc>
      </w:tr>
      <w:tr w:rsidR="001913C3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1913C3" w:rsidRPr="000B2B60" w:rsidRDefault="00AF267D">
            <w:pPr>
              <w:spacing w:after="0" w:line="240" w:lineRule="auto"/>
            </w:pPr>
            <w:r w:rsidRPr="000B2B60">
              <w:rPr>
                <w:szCs w:val="24"/>
              </w:rPr>
              <w:t>(1-5</w:t>
            </w:r>
            <w:r w:rsidR="000B2B60">
              <w:rPr>
                <w:szCs w:val="24"/>
              </w:rPr>
              <w:t xml:space="preserve"> points</w:t>
            </w:r>
            <w:r w:rsidRPr="000B2B60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1913C3" w:rsidRDefault="001913C3">
            <w:pPr>
              <w:spacing w:after="0" w:line="240" w:lineRule="auto"/>
              <w:jc w:val="center"/>
            </w:pPr>
          </w:p>
        </w:tc>
      </w:tr>
      <w:tr w:rsidR="001913C3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1913C3" w:rsidRDefault="00AF267D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>
            <w:pPr>
              <w:spacing w:after="0" w:line="240" w:lineRule="auto"/>
            </w:pPr>
            <w:r>
              <w:t>Consider:</w:t>
            </w:r>
          </w:p>
          <w:p w:rsidR="001913C3" w:rsidRDefault="00AF267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1913C3" w:rsidRDefault="00AF267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1913C3" w:rsidRDefault="00AF267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1913C3" w:rsidRDefault="00AF267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1913C3" w:rsidRDefault="00AF267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 xml:space="preserve">Describe the instructional strategies you will use to achieve the desired outcome. </w:t>
            </w:r>
            <w:r>
              <w:rPr>
                <w:i/>
              </w:rPr>
              <w:t xml:space="preserve">Points to consider: As you integrate multiple standards, how are you using a variety of experiences and incorporating diverse resources, media and </w:t>
            </w:r>
            <w:r>
              <w:rPr>
                <w:i/>
              </w:rPr>
              <w:t>formats to support student learning?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334CB1" w:rsidP="000B2B6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Circle of 5</w:t>
            </w:r>
            <w:r>
              <w:rPr>
                <w:vertAlign w:val="superscript"/>
              </w:rPr>
              <w:t>ths</w:t>
            </w:r>
            <w:r w:rsidR="00AF267D">
              <w:t xml:space="preserve"> - </w:t>
            </w:r>
            <w:hyperlink r:id="rId8" w:anchor="worksheets">
              <w:r w:rsidR="00AF267D" w:rsidRPr="000B2B60">
                <w:rPr>
                  <w:color w:val="1155CC"/>
                  <w:u w:val="single"/>
                </w:rPr>
                <w:t>http://linkwaregraphics.com/music/circle-of-fifths/#worksheets</w:t>
              </w:r>
            </w:hyperlink>
          </w:p>
          <w:p w:rsidR="001913C3" w:rsidRDefault="00AF267D" w:rsidP="000B2B6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Order of sharps and flats</w:t>
            </w:r>
          </w:p>
          <w:p w:rsidR="001913C3" w:rsidRDefault="00AF267D" w:rsidP="000B2B6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Show how to build a sc</w:t>
            </w:r>
            <w:r>
              <w:t>ale using half steps and whole steps</w:t>
            </w:r>
          </w:p>
          <w:p w:rsidR="001913C3" w:rsidRDefault="00AF267D" w:rsidP="000B2B6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Use the rubric to assess scales as they learn them</w:t>
            </w:r>
          </w:p>
          <w:p w:rsidR="001913C3" w:rsidRDefault="00AF267D" w:rsidP="000B2B6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Use scale sheets </w:t>
            </w:r>
          </w:p>
        </w:tc>
      </w:tr>
      <w:tr w:rsidR="001913C3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 xml:space="preserve">How will you ensure productive collaborative learning experiences that promote both individual and group engagement and accountability? </w:t>
            </w:r>
            <w:r>
              <w:rPr>
                <w:i/>
              </w:rPr>
              <w:t xml:space="preserve">Points to </w:t>
            </w:r>
            <w:r>
              <w:rPr>
                <w:i/>
              </w:rPr>
              <w:t>consider: How will you ensure that all students develop a deep understanding of the desired outcome(s) and increase their abilities to apply and extend knowledge in meaningful ways?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 w:rsidP="00334CB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The class will learn and play scales together as a group.  They will then practice individually at home and in small groups and finally demonstrate what they know for their teacher.</w:t>
            </w:r>
          </w:p>
          <w:p w:rsidR="001913C3" w:rsidRDefault="001913C3">
            <w:pPr>
              <w:spacing w:after="0" w:line="240" w:lineRule="auto"/>
            </w:pPr>
          </w:p>
        </w:tc>
      </w:tr>
      <w:tr w:rsidR="001913C3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1913C3" w:rsidRDefault="00AF267D">
            <w:pPr>
              <w:spacing w:after="0" w:line="240" w:lineRule="auto"/>
            </w:pPr>
            <w:r>
              <w:t>How will you respond to differing levels of understandi</w:t>
            </w:r>
            <w:r>
              <w:t>ng and achievement 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>How will you provide additional instructional support for students who don’t understand?</w:t>
            </w:r>
          </w:p>
          <w:p w:rsidR="001913C3" w:rsidRDefault="001913C3">
            <w:pPr>
              <w:spacing w:after="0" w:line="240" w:lineRule="auto"/>
            </w:pPr>
          </w:p>
          <w:p w:rsidR="00334CB1" w:rsidRDefault="00AF267D" w:rsidP="00334CB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Opportunities can be provided for students to receive special aft</w:t>
            </w:r>
            <w:r w:rsidR="00334CB1">
              <w:t>er school one on one attention.</w:t>
            </w:r>
          </w:p>
          <w:p w:rsidR="001913C3" w:rsidRDefault="00AF267D" w:rsidP="00334CB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Students can be </w:t>
            </w:r>
            <w:r>
              <w:t>directed to various websites that provide extra practice with scales.</w:t>
            </w:r>
          </w:p>
          <w:p w:rsidR="001913C3" w:rsidRDefault="00AF267D" w:rsidP="00334CB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Students can be assigned a student mentor that is highly proficient in required scales.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</w:tc>
      </w:tr>
      <w:tr w:rsidR="001913C3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AF267D" w:rsidP="00334CB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After students have demonstrated that they are highly proficient, teachers can add</w:t>
            </w:r>
            <w:r w:rsidR="00334CB1">
              <w:t xml:space="preserve"> more octaves, harder positions</w:t>
            </w:r>
            <w:r>
              <w:t xml:space="preserve"> and faster tempos to increase the difficulty.  Highly proficient students can also be assigned as mentors to</w:t>
            </w:r>
            <w:r w:rsidR="00334CB1">
              <w:t xml:space="preserve"> lower-performing</w:t>
            </w:r>
            <w:r>
              <w:t xml:space="preserve"> students,</w:t>
            </w:r>
            <w:r w:rsidR="00334CB1">
              <w:t xml:space="preserve"> </w:t>
            </w:r>
            <w:r>
              <w:t xml:space="preserve">which will </w:t>
            </w:r>
            <w:r w:rsidR="00334CB1">
              <w:t xml:space="preserve">further </w:t>
            </w:r>
            <w:r>
              <w:t>increase th</w:t>
            </w:r>
            <w:r>
              <w:t>eir understanding.</w:t>
            </w:r>
          </w:p>
          <w:p w:rsidR="001913C3" w:rsidRDefault="001913C3">
            <w:pPr>
              <w:spacing w:after="0" w:line="240" w:lineRule="auto"/>
            </w:pPr>
          </w:p>
        </w:tc>
      </w:tr>
      <w:tr w:rsidR="001913C3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1913C3" w:rsidRDefault="00AF267D">
            <w:pPr>
              <w:spacing w:after="0" w:line="240" w:lineRule="auto"/>
            </w:pPr>
            <w:r>
              <w:rPr>
                <w:b/>
              </w:rPr>
              <w:t>Reflection and Data Analysis</w:t>
            </w:r>
          </w:p>
          <w:p w:rsidR="001913C3" w:rsidRDefault="00AF267D">
            <w:pPr>
              <w:spacing w:after="0" w:line="240" w:lineRule="auto"/>
            </w:pPr>
            <w:r>
              <w:t xml:space="preserve">How will evidence of student understanding and achievement be </w:t>
            </w:r>
            <w:r>
              <w:lastRenderedPageBreak/>
              <w:t>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Based on your SLO data</w:t>
            </w:r>
          </w:p>
          <w:p w:rsidR="001913C3" w:rsidRDefault="001913C3">
            <w:pPr>
              <w:spacing w:after="0" w:line="240" w:lineRule="auto"/>
              <w:ind w:left="720"/>
            </w:pPr>
          </w:p>
        </w:tc>
      </w:tr>
      <w:tr w:rsidR="001913C3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</w:tc>
      </w:tr>
      <w:tr w:rsidR="001913C3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1913C3" w:rsidRDefault="001913C3">
            <w:pPr>
              <w:spacing w:after="0" w:line="240" w:lineRule="auto"/>
              <w:ind w:left="720"/>
            </w:pPr>
          </w:p>
          <w:p w:rsidR="001913C3" w:rsidRDefault="001913C3">
            <w:pPr>
              <w:spacing w:after="0" w:line="240" w:lineRule="auto"/>
              <w:ind w:left="720"/>
            </w:pPr>
          </w:p>
          <w:p w:rsidR="001913C3" w:rsidRDefault="001913C3">
            <w:pPr>
              <w:spacing w:after="0" w:line="240" w:lineRule="auto"/>
              <w:ind w:left="720"/>
            </w:pPr>
          </w:p>
          <w:p w:rsidR="001913C3" w:rsidRDefault="001913C3">
            <w:pPr>
              <w:spacing w:after="0" w:line="240" w:lineRule="auto"/>
            </w:pPr>
          </w:p>
        </w:tc>
      </w:tr>
      <w:tr w:rsidR="001913C3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1913C3" w:rsidRDefault="001913C3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1913C3" w:rsidRDefault="00AF267D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  <w:p w:rsidR="001913C3" w:rsidRDefault="001913C3">
            <w:pPr>
              <w:spacing w:after="0" w:line="240" w:lineRule="auto"/>
            </w:pPr>
          </w:p>
        </w:tc>
      </w:tr>
    </w:tbl>
    <w:p w:rsidR="001913C3" w:rsidRDefault="001913C3"/>
    <w:sectPr w:rsidR="001913C3">
      <w:headerReference w:type="default" r:id="rId9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7D" w:rsidRDefault="00AF267D">
      <w:pPr>
        <w:spacing w:after="0" w:line="240" w:lineRule="auto"/>
      </w:pPr>
      <w:r>
        <w:separator/>
      </w:r>
    </w:p>
  </w:endnote>
  <w:endnote w:type="continuationSeparator" w:id="0">
    <w:p w:rsidR="00AF267D" w:rsidRDefault="00AF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7D" w:rsidRDefault="00AF267D">
      <w:pPr>
        <w:spacing w:after="0" w:line="240" w:lineRule="auto"/>
      </w:pPr>
      <w:r>
        <w:separator/>
      </w:r>
    </w:p>
  </w:footnote>
  <w:footnote w:type="continuationSeparator" w:id="0">
    <w:p w:rsidR="00AF267D" w:rsidRDefault="00AF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C3" w:rsidRDefault="00AF267D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1913C3" w:rsidRDefault="00AF267D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66C"/>
    <w:multiLevelType w:val="hybridMultilevel"/>
    <w:tmpl w:val="9F70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749E"/>
    <w:multiLevelType w:val="hybridMultilevel"/>
    <w:tmpl w:val="44D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3B47"/>
    <w:multiLevelType w:val="multilevel"/>
    <w:tmpl w:val="90300E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7B06B13"/>
    <w:multiLevelType w:val="hybridMultilevel"/>
    <w:tmpl w:val="03F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4EBC"/>
    <w:multiLevelType w:val="hybridMultilevel"/>
    <w:tmpl w:val="71A8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6C47"/>
    <w:multiLevelType w:val="hybridMultilevel"/>
    <w:tmpl w:val="EF2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BB0"/>
    <w:multiLevelType w:val="hybridMultilevel"/>
    <w:tmpl w:val="0AB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E39"/>
    <w:multiLevelType w:val="hybridMultilevel"/>
    <w:tmpl w:val="2E6E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3389"/>
    <w:multiLevelType w:val="hybridMultilevel"/>
    <w:tmpl w:val="E09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3"/>
    <w:rsid w:val="000B2B60"/>
    <w:rsid w:val="001913C3"/>
    <w:rsid w:val="00334CB1"/>
    <w:rsid w:val="00A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5E87D-248E-47A9-8E0B-5B7D9A2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B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waregraphics.com/music/circle-of-fif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wnload.php?key=cfcc040b78cc648bc4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2015-07-31T21:29:00Z</dcterms:created>
  <dcterms:modified xsi:type="dcterms:W3CDTF">2015-07-31T21:29:00Z</dcterms:modified>
</cp:coreProperties>
</file>